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eastAsia" w:ascii="方正小标宋_GBK" w:hAnsi="宋体" w:eastAsia="方正小标宋_GBK" w:cs="宋体"/>
          <w:color w:val="000000"/>
          <w:sz w:val="44"/>
          <w:szCs w:val="44"/>
          <w:lang w:val="en-US" w:eastAsia="zh-CN"/>
        </w:rPr>
      </w:pPr>
      <w:r>
        <w:rPr>
          <w:rFonts w:hint="eastAsia" w:ascii="方正小标宋_GBK" w:hAnsi="宋体" w:eastAsia="方正小标宋_GBK" w:cs="宋体"/>
          <w:color w:val="000000"/>
          <w:sz w:val="44"/>
          <w:szCs w:val="44"/>
          <w:lang w:val="en-US" w:eastAsia="zh-CN"/>
        </w:rPr>
        <w:t>甘肃省天水传染病医院</w:t>
      </w:r>
    </w:p>
    <w:p>
      <w:pPr>
        <w:shd w:val="clear" w:color="auto" w:fill="FFFFFF"/>
        <w:jc w:val="center"/>
        <w:rPr>
          <w:rFonts w:hint="eastAsia" w:ascii="方正小标宋_GBK" w:hAnsi="宋体" w:eastAsia="方正小标宋_GBK" w:cs="宋体"/>
          <w:color w:val="000000"/>
          <w:sz w:val="44"/>
          <w:szCs w:val="44"/>
          <w:lang w:eastAsia="zh-CN"/>
        </w:rPr>
      </w:pPr>
      <w:r>
        <w:rPr>
          <w:rFonts w:hint="eastAsia" w:ascii="方正小标宋_GBK" w:hAnsi="宋体" w:eastAsia="方正小标宋_GBK" w:cs="宋体"/>
          <w:color w:val="000000"/>
          <w:sz w:val="44"/>
          <w:szCs w:val="44"/>
          <w:lang w:eastAsia="zh-CN"/>
        </w:rPr>
        <w:t>202</w:t>
      </w:r>
      <w:r>
        <w:rPr>
          <w:rFonts w:hint="eastAsia" w:ascii="方正小标宋_GBK" w:hAnsi="宋体" w:eastAsia="方正小标宋_GBK" w:cs="宋体"/>
          <w:color w:val="000000"/>
          <w:sz w:val="44"/>
          <w:szCs w:val="44"/>
          <w:lang w:val="en-US" w:eastAsia="zh-CN"/>
        </w:rPr>
        <w:t>2</w:t>
      </w:r>
      <w:r>
        <w:rPr>
          <w:rFonts w:hint="eastAsia" w:ascii="方正小标宋_GBK" w:hAnsi="宋体" w:eastAsia="方正小标宋_GBK" w:cs="宋体"/>
          <w:color w:val="000000"/>
          <w:sz w:val="44"/>
          <w:szCs w:val="44"/>
          <w:lang w:eastAsia="zh-CN"/>
        </w:rPr>
        <w:t>年度市级预算执行情况自评报告</w:t>
      </w:r>
    </w:p>
    <w:p>
      <w:pPr>
        <w:rPr>
          <w:rFonts w:hint="eastAsia"/>
        </w:rPr>
      </w:pPr>
    </w:p>
    <w:p>
      <w:pPr>
        <w:tabs>
          <w:tab w:val="left" w:pos="420"/>
        </w:tabs>
        <w:spacing w:line="560" w:lineRule="exact"/>
        <w:ind w:firstLine="420" w:firstLineChars="200"/>
        <w:rPr>
          <w:rFonts w:hint="eastAsia" w:ascii="仿宋_GB2312" w:eastAsia="仿宋_GB2312"/>
          <w:b/>
          <w:bCs/>
          <w:color w:val="000000"/>
          <w:sz w:val="32"/>
          <w:szCs w:val="32"/>
        </w:rPr>
      </w:pPr>
      <w:r>
        <w:rPr>
          <w:rFonts w:hint="eastAsia"/>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w:t>
      </w:r>
      <w:r>
        <w:rPr>
          <w:rFonts w:hint="eastAsia" w:ascii="仿宋_GB2312" w:eastAsia="仿宋_GB2312"/>
          <w:b/>
          <w:bCs/>
          <w:color w:val="000000"/>
          <w:sz w:val="32"/>
          <w:szCs w:val="32"/>
        </w:rPr>
        <w:t xml:space="preserve"> 一、基本情况</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（一）主要职能</w:t>
      </w:r>
    </w:p>
    <w:p>
      <w:pPr>
        <w:tabs>
          <w:tab w:val="left" w:pos="420"/>
        </w:tabs>
        <w:spacing w:line="560" w:lineRule="exact"/>
        <w:ind w:firstLine="640" w:firstLineChars="200"/>
        <w:rPr>
          <w:rFonts w:hint="eastAsia" w:ascii="仿宋_GB2312" w:eastAsia="仿宋_GB2312"/>
          <w:color w:val="000000"/>
          <w:sz w:val="32"/>
          <w:szCs w:val="32"/>
          <w:lang w:val="zh-CN" w:eastAsia="zh-CN"/>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zh-CN" w:eastAsia="zh-CN"/>
        </w:rPr>
        <w:t>甘肃省天水传染病医院（天水市第五人民医院）始建于2004年10月，是原甘肃省卫生厅批准的一所集医疗急救、公共卫生、科研教学、康复理疗、健康体检、职业病防治为一体的区域公共卫生医疗机构。隶属天水市卫生健康委主管，主要承担我市两区传染病患者及五县重症传染病患者和传染病疫情暴发流行时的应急医疗救治任务。</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（二）</w:t>
      </w:r>
      <w:r>
        <w:rPr>
          <w:rFonts w:hint="eastAsia" w:ascii="仿宋_GB2312" w:eastAsia="仿宋_GB2312"/>
          <w:color w:val="000000"/>
          <w:sz w:val="32"/>
          <w:szCs w:val="32"/>
        </w:rPr>
        <w:t>机构设置情况</w:t>
      </w:r>
    </w:p>
    <w:p>
      <w:pPr>
        <w:tabs>
          <w:tab w:val="left" w:pos="420"/>
        </w:tabs>
        <w:spacing w:line="560" w:lineRule="exact"/>
        <w:ind w:firstLine="640" w:firstLineChars="200"/>
        <w:rPr>
          <w:rFonts w:hint="eastAsia" w:ascii="仿宋_GB2312" w:eastAsia="仿宋_GB2312"/>
          <w:color w:val="000000"/>
          <w:sz w:val="32"/>
          <w:szCs w:val="32"/>
          <w:lang w:val="zh-CN"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val="zh-CN" w:eastAsia="zh-CN"/>
        </w:rPr>
        <w:t>甘肃省天水传染病医院设置床位</w:t>
      </w:r>
      <w:r>
        <w:rPr>
          <w:rFonts w:hint="eastAsia" w:ascii="仿宋_GB2312" w:eastAsia="仿宋_GB2312"/>
          <w:color w:val="000000"/>
          <w:sz w:val="32"/>
          <w:szCs w:val="32"/>
          <w:lang w:val="en-US" w:eastAsia="zh-CN"/>
        </w:rPr>
        <w:t>400</w:t>
      </w:r>
      <w:r>
        <w:rPr>
          <w:rFonts w:hint="eastAsia" w:ascii="仿宋_GB2312" w:eastAsia="仿宋_GB2312"/>
          <w:color w:val="000000"/>
          <w:sz w:val="32"/>
          <w:szCs w:val="32"/>
          <w:lang w:val="zh-CN" w:eastAsia="zh-CN"/>
        </w:rPr>
        <w:t>张,为县级事业单位。人员编制</w:t>
      </w:r>
      <w:r>
        <w:rPr>
          <w:rFonts w:hint="eastAsia" w:ascii="仿宋_GB2312" w:eastAsia="仿宋_GB2312"/>
          <w:color w:val="000000"/>
          <w:sz w:val="32"/>
          <w:szCs w:val="32"/>
          <w:lang w:val="en-US" w:eastAsia="zh-CN"/>
        </w:rPr>
        <w:t>85</w:t>
      </w:r>
      <w:r>
        <w:rPr>
          <w:rFonts w:hint="eastAsia" w:ascii="仿宋_GB2312" w:eastAsia="仿宋_GB2312"/>
          <w:color w:val="000000"/>
          <w:sz w:val="32"/>
          <w:szCs w:val="32"/>
          <w:lang w:val="zh-CN" w:eastAsia="zh-CN"/>
        </w:rPr>
        <w:t>人，202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val="zh-CN" w:eastAsia="zh-CN"/>
        </w:rPr>
        <w:t>年末在职人员8</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val="zh-CN" w:eastAsia="zh-CN"/>
        </w:rPr>
        <w:t>人。内设机构21个，其中：职能科室8个：办公室、医务科、护理部、财务科、后勤保卫科、医院感染管理科、药械科、门诊部；临床科室8个：肝病科、一般传染病科、结核病科、性病艾滋病科、特殊传染病科、康复科、中医科、手术麻醉科。</w:t>
      </w:r>
      <w:r>
        <w:rPr>
          <w:rFonts w:hint="eastAsia" w:ascii="仿宋_GB2312" w:eastAsia="仿宋_GB2312"/>
          <w:color w:val="000000"/>
          <w:sz w:val="32"/>
          <w:szCs w:val="32"/>
          <w:lang w:val="en-US" w:eastAsia="zh-CN"/>
        </w:rPr>
        <w:t>医</w:t>
      </w:r>
      <w:r>
        <w:rPr>
          <w:rFonts w:hint="eastAsia" w:ascii="仿宋_GB2312" w:eastAsia="仿宋_GB2312"/>
          <w:color w:val="000000"/>
          <w:sz w:val="32"/>
          <w:szCs w:val="32"/>
          <w:lang w:val="zh-CN" w:eastAsia="zh-CN"/>
        </w:rPr>
        <w:t>技科室5个：放射科、检验科、功能检查科、病理科、消毒供应室。</w:t>
      </w:r>
    </w:p>
    <w:p>
      <w:pPr>
        <w:tabs>
          <w:tab w:val="left" w:pos="420"/>
        </w:tabs>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w:t>
      </w:r>
      <w:r>
        <w:rPr>
          <w:rFonts w:hint="eastAsia" w:ascii="仿宋_GB2312" w:eastAsia="仿宋_GB2312"/>
          <w:b/>
          <w:bCs/>
          <w:color w:val="000000"/>
          <w:sz w:val="32"/>
          <w:szCs w:val="32"/>
        </w:rPr>
        <w:t>绩效自评工作组织开展情况</w:t>
      </w:r>
      <w:r>
        <w:rPr>
          <w:rFonts w:hint="eastAsia" w:ascii="仿宋_GB2312" w:eastAsia="仿宋_GB2312"/>
          <w:b/>
          <w:bCs/>
          <w:color w:val="000000"/>
          <w:sz w:val="32"/>
          <w:szCs w:val="32"/>
        </w:rPr>
        <w:tab/>
      </w:r>
    </w:p>
    <w:p>
      <w:pPr>
        <w:tabs>
          <w:tab w:val="left" w:pos="420"/>
        </w:tabs>
        <w:spacing w:line="560" w:lineRule="exact"/>
        <w:ind w:firstLine="640" w:firstLineChars="200"/>
        <w:rPr>
          <w:rFonts w:hint="eastAsia" w:ascii="仿宋_GB2312" w:eastAsia="仿宋_GB2312"/>
          <w:color w:val="000000"/>
          <w:sz w:val="32"/>
          <w:szCs w:val="32"/>
        </w:rPr>
      </w:pPr>
      <w:r>
        <w:rPr>
          <w:rFonts w:hint="default" w:ascii="仿宋_GB2312" w:eastAsia="仿宋_GB2312"/>
          <w:color w:val="000000"/>
          <w:sz w:val="32"/>
          <w:szCs w:val="32"/>
          <w:lang w:eastAsia="zh-CN"/>
        </w:rPr>
        <w:t>根据财政预算绩效管理要求，我</w:t>
      </w:r>
      <w:r>
        <w:rPr>
          <w:rFonts w:hint="eastAsia" w:ascii="仿宋_GB2312" w:eastAsia="仿宋_GB2312"/>
          <w:color w:val="000000"/>
          <w:sz w:val="32"/>
          <w:szCs w:val="32"/>
          <w:lang w:eastAsia="zh-CN"/>
        </w:rPr>
        <w:t>单位</w:t>
      </w:r>
      <w:r>
        <w:rPr>
          <w:rFonts w:hint="default" w:ascii="仿宋_GB2312" w:eastAsia="仿宋_GB2312"/>
          <w:color w:val="000000"/>
          <w:sz w:val="32"/>
          <w:szCs w:val="32"/>
          <w:lang w:eastAsia="zh-CN"/>
        </w:rPr>
        <w:t>组织对</w:t>
      </w:r>
      <w:r>
        <w:rPr>
          <w:rFonts w:hint="eastAsia" w:ascii="仿宋_GB2312" w:eastAsia="仿宋_GB2312"/>
          <w:color w:val="000000"/>
          <w:sz w:val="32"/>
          <w:szCs w:val="32"/>
          <w:lang w:val="en-US" w:eastAsia="zh-CN"/>
        </w:rPr>
        <w:t>2022</w:t>
      </w:r>
      <w:r>
        <w:rPr>
          <w:rFonts w:hint="default" w:ascii="仿宋_GB2312" w:eastAsia="仿宋_GB2312"/>
          <w:color w:val="000000"/>
          <w:sz w:val="32"/>
          <w:szCs w:val="32"/>
          <w:lang w:eastAsia="zh-CN"/>
        </w:rPr>
        <w:t>年度一般公共预算项目支出开展绩效评价</w:t>
      </w:r>
      <w:r>
        <w:rPr>
          <w:rFonts w:hint="eastAsia" w:ascii="仿宋_GB2312" w:eastAsia="仿宋_GB2312"/>
          <w:color w:val="000000"/>
          <w:sz w:val="32"/>
          <w:szCs w:val="32"/>
          <w:lang w:eastAsia="zh-CN"/>
        </w:rPr>
        <w:t>，</w:t>
      </w:r>
      <w:r>
        <w:rPr>
          <w:rFonts w:hint="default" w:ascii="仿宋_GB2312" w:eastAsia="仿宋_GB2312"/>
          <w:color w:val="000000"/>
          <w:sz w:val="32"/>
          <w:szCs w:val="32"/>
          <w:lang w:eastAsia="zh-CN"/>
        </w:rPr>
        <w:t>共</w:t>
      </w:r>
      <w:r>
        <w:rPr>
          <w:rFonts w:hint="eastAsia" w:ascii="仿宋_GB2312" w:eastAsia="仿宋_GB2312"/>
          <w:color w:val="000000"/>
          <w:sz w:val="32"/>
          <w:szCs w:val="32"/>
          <w:lang w:eastAsia="zh-CN"/>
        </w:rPr>
        <w:t>涉及</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lang w:eastAsia="zh-CN"/>
        </w:rPr>
        <w:t>个项目，即</w:t>
      </w:r>
      <w:r>
        <w:rPr>
          <w:rFonts w:hint="default" w:ascii="仿宋_GB2312" w:eastAsia="仿宋_GB2312"/>
          <w:color w:val="000000"/>
          <w:sz w:val="32"/>
          <w:szCs w:val="32"/>
          <w:lang w:eastAsia="zh-CN"/>
        </w:rPr>
        <w:t>取消药品加成对公立医院的补助项目，资金</w:t>
      </w:r>
      <w:r>
        <w:rPr>
          <w:rFonts w:hint="eastAsia" w:ascii="仿宋_GB2312" w:eastAsia="仿宋_GB2312"/>
          <w:color w:val="000000"/>
          <w:sz w:val="32"/>
          <w:szCs w:val="32"/>
          <w:lang w:eastAsia="zh-CN"/>
        </w:rPr>
        <w:t>共计</w:t>
      </w:r>
      <w:r>
        <w:rPr>
          <w:rFonts w:hint="eastAsia" w:ascii="仿宋_GB2312" w:eastAsia="仿宋_GB2312"/>
          <w:color w:val="000000"/>
          <w:sz w:val="32"/>
          <w:szCs w:val="32"/>
          <w:lang w:val="en-US" w:eastAsia="zh-CN"/>
        </w:rPr>
        <w:t>7.80</w:t>
      </w:r>
      <w:r>
        <w:rPr>
          <w:rFonts w:hint="default" w:ascii="仿宋_GB2312" w:eastAsia="仿宋_GB2312"/>
          <w:color w:val="000000"/>
          <w:sz w:val="32"/>
          <w:szCs w:val="32"/>
          <w:lang w:eastAsia="zh-CN"/>
        </w:rPr>
        <w:t>万元。 　　</w:t>
      </w:r>
    </w:p>
    <w:p>
      <w:pPr>
        <w:tabs>
          <w:tab w:val="left" w:pos="420"/>
        </w:tabs>
        <w:spacing w:line="560" w:lineRule="exact"/>
        <w:ind w:firstLine="640" w:firstLineChars="200"/>
        <w:rPr>
          <w:rFonts w:hint="eastAsia" w:ascii="仿宋_GB2312" w:eastAsia="仿宋_GB2312"/>
          <w:b/>
          <w:bCs/>
          <w:color w:val="000000"/>
          <w:sz w:val="32"/>
          <w:szCs w:val="32"/>
        </w:rPr>
      </w:pPr>
      <w:r>
        <w:rPr>
          <w:rFonts w:hint="eastAsia" w:ascii="仿宋_GB2312" w:eastAsia="仿宋_GB2312"/>
          <w:color w:val="000000"/>
          <w:sz w:val="32"/>
          <w:szCs w:val="32"/>
        </w:rPr>
        <w:t xml:space="preserve"> </w:t>
      </w:r>
      <w:r>
        <w:rPr>
          <w:rFonts w:hint="eastAsia" w:ascii="仿宋_GB2312" w:eastAsia="仿宋_GB2312"/>
          <w:b/>
          <w:bCs/>
          <w:color w:val="000000"/>
          <w:sz w:val="32"/>
          <w:szCs w:val="32"/>
        </w:rPr>
        <w:t>三、部门整体支出绩效自评情况分析</w:t>
      </w:r>
      <w:r>
        <w:rPr>
          <w:rFonts w:hint="eastAsia" w:ascii="仿宋_GB2312" w:eastAsia="仿宋_GB2312"/>
          <w:b/>
          <w:bCs/>
          <w:color w:val="000000"/>
          <w:sz w:val="32"/>
          <w:szCs w:val="32"/>
        </w:rPr>
        <w:tab/>
      </w:r>
    </w:p>
    <w:p>
      <w:pPr>
        <w:numPr>
          <w:ilvl w:val="0"/>
          <w:numId w:val="0"/>
        </w:numPr>
        <w:shd w:val="clear" w:color="auto" w:fill="FFFFFF"/>
        <w:spacing w:line="576" w:lineRule="exact"/>
        <w:ind w:firstLine="616" w:firstLineChars="200"/>
        <w:jc w:val="both"/>
        <w:rPr>
          <w:rFonts w:hint="eastAsia" w:ascii="Times New Roman" w:hAnsi="Times New Roman" w:eastAsia="仿宋_GB2312"/>
          <w:color w:val="000000"/>
          <w:spacing w:val="-6"/>
          <w:sz w:val="32"/>
          <w:szCs w:val="32"/>
          <w:lang w:val="zh-CN"/>
        </w:rPr>
      </w:pPr>
      <w:r>
        <w:rPr>
          <w:rFonts w:hint="eastAsia" w:ascii="Times New Roman" w:hAnsi="Times New Roman" w:eastAsia="仿宋_GB2312"/>
          <w:color w:val="000000"/>
          <w:spacing w:val="-6"/>
          <w:sz w:val="32"/>
          <w:szCs w:val="32"/>
          <w:lang w:val="zh-CN"/>
        </w:rPr>
        <w:t>（一）部门决算情况。</w:t>
      </w:r>
    </w:p>
    <w:p>
      <w:pPr>
        <w:numPr>
          <w:ilvl w:val="0"/>
          <w:numId w:val="0"/>
        </w:numPr>
        <w:shd w:val="clear" w:color="auto" w:fill="FFFFFF"/>
        <w:spacing w:line="576" w:lineRule="exact"/>
        <w:ind w:firstLine="616" w:firstLineChars="200"/>
        <w:jc w:val="both"/>
        <w:rPr>
          <w:rFonts w:hint="default" w:ascii="Times New Roman" w:hAnsi="Times New Roman" w:eastAsia="仿宋_GB2312"/>
          <w:color w:val="000000"/>
          <w:spacing w:val="-6"/>
          <w:sz w:val="32"/>
          <w:szCs w:val="32"/>
          <w:lang w:val="en-US" w:eastAsia="zh-CN"/>
        </w:rPr>
      </w:pPr>
      <w:r>
        <w:rPr>
          <w:rFonts w:hint="eastAsia" w:ascii="Times New Roman" w:hAnsi="Times New Roman" w:eastAsia="仿宋_GB2312"/>
          <w:color w:val="000000"/>
          <w:spacing w:val="-6"/>
          <w:sz w:val="32"/>
          <w:szCs w:val="32"/>
          <w:lang w:val="en-US" w:eastAsia="zh-CN"/>
        </w:rPr>
        <w:t>1、收入决算情况</w:t>
      </w:r>
    </w:p>
    <w:p>
      <w:pPr>
        <w:numPr>
          <w:ilvl w:val="0"/>
          <w:numId w:val="0"/>
        </w:numPr>
        <w:shd w:val="clear" w:color="auto" w:fill="FFFFFF"/>
        <w:spacing w:line="576" w:lineRule="exact"/>
        <w:ind w:firstLine="616" w:firstLineChars="200"/>
        <w:jc w:val="both"/>
        <w:rPr>
          <w:rFonts w:hint="eastAsia" w:ascii="Times New Roman" w:hAnsi="Times New Roman" w:eastAsia="仿宋_GB2312"/>
          <w:color w:val="000000"/>
          <w:spacing w:val="-6"/>
          <w:sz w:val="32"/>
          <w:szCs w:val="32"/>
          <w:lang w:val="zh-CN" w:eastAsia="zh-CN"/>
        </w:rPr>
      </w:pPr>
      <w:r>
        <w:rPr>
          <w:rFonts w:hint="eastAsia" w:ascii="Times New Roman" w:hAnsi="Times New Roman" w:eastAsia="仿宋_GB2312"/>
          <w:color w:val="000000"/>
          <w:spacing w:val="-6"/>
          <w:sz w:val="32"/>
          <w:szCs w:val="32"/>
          <w:lang w:val="zh-CN" w:eastAsia="zh-CN"/>
        </w:rPr>
        <w:t>2022年度收入合计7962.96万元,其中：财政拨款收入7346.68万元,占92.26%；</w:t>
      </w:r>
      <w:r>
        <w:rPr>
          <w:rFonts w:hint="eastAsia" w:ascii="Times New Roman" w:hAnsi="Times New Roman" w:eastAsia="仿宋_GB2312"/>
          <w:color w:val="000000"/>
          <w:spacing w:val="-6"/>
          <w:sz w:val="32"/>
          <w:szCs w:val="32"/>
          <w:lang w:val="en-US" w:eastAsia="zh-CN"/>
        </w:rPr>
        <w:t>事业</w:t>
      </w:r>
      <w:r>
        <w:rPr>
          <w:rFonts w:hint="eastAsia" w:ascii="Times New Roman" w:hAnsi="Times New Roman" w:eastAsia="仿宋_GB2312"/>
          <w:color w:val="000000"/>
          <w:spacing w:val="-6"/>
          <w:sz w:val="32"/>
          <w:szCs w:val="32"/>
          <w:lang w:val="zh-CN" w:eastAsia="zh-CN"/>
        </w:rPr>
        <w:t>收入423.25万元,占5.32%；</w:t>
      </w:r>
      <w:r>
        <w:rPr>
          <w:rFonts w:hint="eastAsia" w:ascii="Times New Roman" w:hAnsi="Times New Roman" w:eastAsia="仿宋_GB2312"/>
          <w:color w:val="000000"/>
          <w:spacing w:val="-6"/>
          <w:sz w:val="32"/>
          <w:szCs w:val="32"/>
          <w:lang w:val="en-US" w:eastAsia="zh-CN"/>
        </w:rPr>
        <w:t>其他</w:t>
      </w:r>
      <w:r>
        <w:rPr>
          <w:rFonts w:hint="eastAsia" w:ascii="Times New Roman" w:hAnsi="Times New Roman" w:eastAsia="仿宋_GB2312"/>
          <w:color w:val="000000"/>
          <w:spacing w:val="-6"/>
          <w:sz w:val="32"/>
          <w:szCs w:val="32"/>
          <w:lang w:val="zh-CN" w:eastAsia="zh-CN"/>
        </w:rPr>
        <w:t>收入193.03万元,占2.42%。</w:t>
      </w:r>
    </w:p>
    <w:p>
      <w:pPr>
        <w:numPr>
          <w:ilvl w:val="0"/>
          <w:numId w:val="0"/>
        </w:numPr>
        <w:shd w:val="clear" w:color="auto" w:fill="FFFFFF"/>
        <w:spacing w:line="576" w:lineRule="exact"/>
        <w:ind w:firstLine="616" w:firstLineChars="200"/>
        <w:jc w:val="both"/>
        <w:rPr>
          <w:rFonts w:hint="eastAsia" w:ascii="Times New Roman" w:hAnsi="Times New Roman" w:eastAsia="仿宋_GB2312"/>
          <w:color w:val="000000"/>
          <w:spacing w:val="-6"/>
          <w:sz w:val="32"/>
          <w:szCs w:val="32"/>
          <w:lang w:val="en-US" w:eastAsia="zh-CN"/>
        </w:rPr>
      </w:pPr>
      <w:r>
        <w:rPr>
          <w:rFonts w:hint="eastAsia" w:ascii="Times New Roman" w:hAnsi="Times New Roman" w:eastAsia="仿宋_GB2312"/>
          <w:color w:val="000000"/>
          <w:spacing w:val="-6"/>
          <w:sz w:val="32"/>
          <w:szCs w:val="32"/>
          <w:lang w:val="en-US" w:eastAsia="zh-CN"/>
        </w:rPr>
        <w:t>2、支出决算情况</w:t>
      </w:r>
    </w:p>
    <w:p>
      <w:pPr>
        <w:numPr>
          <w:ilvl w:val="0"/>
          <w:numId w:val="0"/>
        </w:numPr>
        <w:shd w:val="clear" w:color="auto" w:fill="FFFFFF"/>
        <w:spacing w:line="576" w:lineRule="exact"/>
        <w:ind w:firstLine="616" w:firstLineChars="200"/>
        <w:jc w:val="both"/>
        <w:rPr>
          <w:rFonts w:hint="eastAsia" w:ascii="Times New Roman" w:hAnsi="Times New Roman" w:eastAsia="仿宋_GB2312"/>
          <w:color w:val="000000"/>
          <w:spacing w:val="-6"/>
          <w:sz w:val="32"/>
          <w:szCs w:val="32"/>
          <w:lang w:val="en-US" w:eastAsia="zh-CN"/>
        </w:rPr>
      </w:pPr>
      <w:r>
        <w:rPr>
          <w:rFonts w:hint="eastAsia" w:ascii="Times New Roman" w:hAnsi="Times New Roman" w:eastAsia="仿宋_GB2312"/>
          <w:color w:val="000000"/>
          <w:spacing w:val="-6"/>
          <w:sz w:val="32"/>
          <w:szCs w:val="32"/>
          <w:lang w:val="zh-CN" w:eastAsia="zh-CN"/>
        </w:rPr>
        <w:t>2022年度支出合计7962.96万元,其中：基本支出1898.09万元,占23.84%；项目支出6064.87万元,占76.16%。</w:t>
      </w:r>
      <w:r>
        <w:rPr>
          <w:rFonts w:hint="eastAsia" w:ascii="Times New Roman" w:hAnsi="Times New Roman" w:eastAsia="仿宋_GB2312"/>
          <w:color w:val="000000"/>
          <w:spacing w:val="-6"/>
          <w:sz w:val="32"/>
          <w:szCs w:val="32"/>
          <w:lang w:val="en-US" w:eastAsia="zh-CN"/>
        </w:rPr>
        <w:t xml:space="preserve">                                        </w:t>
      </w:r>
    </w:p>
    <w:p>
      <w:pPr>
        <w:shd w:val="clear" w:color="auto" w:fill="FFFFFF"/>
        <w:spacing w:line="576" w:lineRule="exact"/>
        <w:ind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财政拨款收入</w:t>
      </w:r>
      <w:r>
        <w:rPr>
          <w:rFonts w:hint="eastAsia" w:ascii="Times New Roman" w:hAnsi="Times New Roman" w:eastAsia="仿宋_GB2312"/>
          <w:color w:val="000000"/>
          <w:sz w:val="32"/>
          <w:szCs w:val="32"/>
          <w:lang w:eastAsia="zh-CN"/>
        </w:rPr>
        <w:t>支出</w:t>
      </w:r>
      <w:r>
        <w:rPr>
          <w:rFonts w:ascii="Times New Roman" w:hAnsi="Times New Roman" w:eastAsia="仿宋_GB2312"/>
          <w:color w:val="000000"/>
          <w:sz w:val="32"/>
          <w:szCs w:val="32"/>
        </w:rPr>
        <w:t>决算情况</w:t>
      </w:r>
    </w:p>
    <w:p>
      <w:pPr>
        <w:numPr>
          <w:ilvl w:val="0"/>
          <w:numId w:val="0"/>
        </w:numPr>
        <w:shd w:val="clear" w:color="auto" w:fill="FFFFFF"/>
        <w:spacing w:line="576" w:lineRule="exact"/>
        <w:ind w:firstLine="616" w:firstLineChars="200"/>
        <w:jc w:val="both"/>
        <w:rPr>
          <w:rFonts w:hint="eastAsia" w:ascii="Times New Roman" w:hAnsi="Times New Roman" w:eastAsia="仿宋_GB2312"/>
          <w:color w:val="000000"/>
          <w:spacing w:val="-6"/>
          <w:sz w:val="32"/>
          <w:szCs w:val="32"/>
          <w:lang w:val="zh-CN" w:eastAsia="zh-CN"/>
        </w:rPr>
      </w:pPr>
      <w:r>
        <w:rPr>
          <w:rFonts w:hint="eastAsia" w:ascii="Times New Roman" w:hAnsi="Times New Roman" w:eastAsia="仿宋_GB2312"/>
          <w:color w:val="000000"/>
          <w:spacing w:val="-6"/>
          <w:sz w:val="32"/>
          <w:szCs w:val="32"/>
          <w:lang w:val="zh-CN" w:eastAsia="zh-CN"/>
        </w:rPr>
        <w:t>2022年度财政拨款收、支总计均为7346.68万元。与上年相比,各增加1518.39万元,增长26.05%。主要原因</w:t>
      </w:r>
      <w:r>
        <w:rPr>
          <w:rFonts w:hint="eastAsia" w:ascii="Times New Roman" w:hAnsi="Times New Roman" w:eastAsia="仿宋_GB2312"/>
          <w:color w:val="000000"/>
          <w:spacing w:val="-6"/>
          <w:sz w:val="32"/>
          <w:szCs w:val="32"/>
          <w:lang w:val="en-US" w:eastAsia="zh-CN"/>
        </w:rPr>
        <w:t>2022年新增了新冠肺炎疫情防控、康复医学观察、闭环管理人员食宿费用，新增了市级重症传染病区域建设项目支出以及2022年改扩建项目支出较上年增加。</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（二）</w:t>
      </w:r>
      <w:r>
        <w:rPr>
          <w:rFonts w:hint="eastAsia" w:ascii="仿宋_GB2312" w:eastAsia="仿宋_GB2312"/>
          <w:color w:val="000000"/>
          <w:sz w:val="32"/>
          <w:szCs w:val="32"/>
        </w:rPr>
        <w:t>总体绩效目标完成情况分析</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总体绩效目标完成率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年度，</w:t>
      </w:r>
      <w:r>
        <w:rPr>
          <w:rFonts w:hint="eastAsia" w:ascii="仿宋_GB2312" w:eastAsia="仿宋_GB2312"/>
          <w:color w:val="000000"/>
          <w:sz w:val="32"/>
          <w:szCs w:val="32"/>
          <w:lang w:eastAsia="zh-CN"/>
        </w:rPr>
        <w:t>我</w:t>
      </w:r>
      <w:r>
        <w:rPr>
          <w:rFonts w:hint="eastAsia" w:ascii="仿宋_GB2312" w:eastAsia="仿宋_GB2312"/>
          <w:color w:val="000000"/>
          <w:sz w:val="32"/>
          <w:szCs w:val="32"/>
        </w:rPr>
        <w:t>单位财政拨款支出为</w:t>
      </w:r>
      <w:r>
        <w:rPr>
          <w:rFonts w:hint="eastAsia" w:ascii="Times New Roman" w:hAnsi="Times New Roman" w:eastAsia="仿宋_GB2312"/>
          <w:color w:val="000000"/>
          <w:spacing w:val="-6"/>
          <w:sz w:val="32"/>
          <w:szCs w:val="32"/>
          <w:lang w:val="zh-CN" w:eastAsia="zh-CN"/>
        </w:rPr>
        <w:t>7346.68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w:t>
      </w:r>
    </w:p>
    <w:p>
      <w:pPr>
        <w:tabs>
          <w:tab w:val="left" w:pos="420"/>
        </w:tabs>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基本支出</w:t>
      </w:r>
      <w:r>
        <w:rPr>
          <w:rFonts w:hint="eastAsia" w:ascii="仿宋_GB2312" w:eastAsia="仿宋_GB2312"/>
          <w:color w:val="000000"/>
          <w:sz w:val="32"/>
          <w:szCs w:val="32"/>
          <w:lang w:val="en-US" w:eastAsia="zh-CN"/>
        </w:rPr>
        <w:t>1898.09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，目标完成率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lang w:eastAsia="zh-CN"/>
        </w:rPr>
        <w:t>。</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6064.87万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目标完成率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w:t>
      </w:r>
      <w:r>
        <w:rPr>
          <w:rFonts w:hint="eastAsia" w:ascii="仿宋_GB2312" w:eastAsia="仿宋_GB2312"/>
          <w:color w:val="000000"/>
          <w:sz w:val="32"/>
          <w:szCs w:val="32"/>
        </w:rPr>
        <w:t xml:space="preserve"> </w:t>
      </w:r>
      <w:bookmarkStart w:id="0" w:name="_GoBack"/>
      <w:bookmarkEnd w:id="0"/>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（三）各项指标完成情况分析</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预算执行率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、部门管理指标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、履职效果指标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、能力建设指标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、服务对象满意度指标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（四）偏离绩效目标的原因及下一步改进措施</w:t>
      </w:r>
    </w:p>
    <w:p>
      <w:pPr>
        <w:tabs>
          <w:tab w:val="left" w:pos="420"/>
        </w:tabs>
        <w:spacing w:line="560"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 xml:space="preserve"> 四、部门预算项目支出绩效自评情况分析</w:t>
      </w:r>
      <w:r>
        <w:rPr>
          <w:rFonts w:hint="eastAsia" w:ascii="仿宋_GB2312" w:eastAsia="仿宋_GB2312"/>
          <w:b/>
          <w:bCs/>
          <w:color w:val="000000"/>
          <w:sz w:val="32"/>
          <w:szCs w:val="32"/>
        </w:rPr>
        <w:tab/>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年，本部门预算支出项目</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个，当年财政拨款</w:t>
      </w:r>
      <w:r>
        <w:rPr>
          <w:rFonts w:hint="eastAsia" w:ascii="仿宋_GB2312" w:eastAsia="仿宋_GB2312"/>
          <w:color w:val="000000"/>
          <w:sz w:val="32"/>
          <w:szCs w:val="32"/>
          <w:lang w:val="en-US" w:eastAsia="zh-CN"/>
        </w:rPr>
        <w:t>7.80</w:t>
      </w:r>
      <w:r>
        <w:rPr>
          <w:rFonts w:hint="eastAsia" w:ascii="仿宋_GB2312" w:eastAsia="仿宋_GB2312"/>
          <w:color w:val="000000"/>
          <w:sz w:val="32"/>
          <w:szCs w:val="32"/>
        </w:rPr>
        <w:t>万元，全年支出</w:t>
      </w:r>
      <w:r>
        <w:rPr>
          <w:rFonts w:hint="eastAsia" w:ascii="仿宋_GB2312" w:eastAsia="仿宋_GB2312"/>
          <w:color w:val="000000"/>
          <w:sz w:val="32"/>
          <w:szCs w:val="32"/>
          <w:lang w:val="en-US" w:eastAsia="zh-CN"/>
        </w:rPr>
        <w:t>7.80</w:t>
      </w:r>
      <w:r>
        <w:rPr>
          <w:rFonts w:hint="eastAsia" w:ascii="仿宋_GB2312" w:eastAsia="仿宋_GB2312"/>
          <w:color w:val="000000"/>
          <w:sz w:val="32"/>
          <w:szCs w:val="32"/>
        </w:rPr>
        <w:t>元，执行率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%。分项目自评情况分析如下：</w:t>
      </w:r>
    </w:p>
    <w:p>
      <w:pPr>
        <w:tabs>
          <w:tab w:val="left" w:pos="420"/>
        </w:tabs>
        <w:spacing w:line="560" w:lineRule="exact"/>
        <w:ind w:firstLine="640" w:firstLineChars="200"/>
        <w:rPr>
          <w:rFonts w:hint="eastAsia" w:ascii="仿宋_GB2312" w:eastAsia="仿宋_GB2312"/>
          <w:color w:val="000000"/>
          <w:sz w:val="32"/>
          <w:szCs w:val="32"/>
        </w:rPr>
      </w:pPr>
      <w:r>
        <w:rPr>
          <w:rFonts w:hint="default" w:ascii="仿宋_GB2312" w:eastAsia="仿宋_GB2312"/>
          <w:color w:val="000000"/>
          <w:sz w:val="32"/>
          <w:szCs w:val="32"/>
          <w:lang w:eastAsia="zh-CN"/>
        </w:rPr>
        <w:t>药品加成补贴项目自评得分为优。项目全年预算数为</w:t>
      </w:r>
      <w:r>
        <w:rPr>
          <w:rFonts w:hint="eastAsia" w:ascii="仿宋_GB2312" w:eastAsia="仿宋_GB2312"/>
          <w:color w:val="000000"/>
          <w:sz w:val="32"/>
          <w:szCs w:val="32"/>
          <w:lang w:val="en-US" w:eastAsia="zh-CN"/>
        </w:rPr>
        <w:t>7.80</w:t>
      </w:r>
      <w:r>
        <w:rPr>
          <w:rFonts w:hint="default" w:ascii="仿宋_GB2312" w:eastAsia="仿宋_GB2312"/>
          <w:color w:val="000000"/>
          <w:sz w:val="32"/>
          <w:szCs w:val="32"/>
          <w:lang w:eastAsia="zh-CN"/>
        </w:rPr>
        <w:t>万元，执行数为</w:t>
      </w:r>
      <w:r>
        <w:rPr>
          <w:rFonts w:hint="eastAsia" w:ascii="仿宋_GB2312" w:eastAsia="仿宋_GB2312"/>
          <w:color w:val="000000"/>
          <w:sz w:val="32"/>
          <w:szCs w:val="32"/>
          <w:lang w:val="en-US" w:eastAsia="zh-CN"/>
        </w:rPr>
        <w:t>7.80</w:t>
      </w:r>
      <w:r>
        <w:rPr>
          <w:rFonts w:hint="default" w:ascii="仿宋_GB2312" w:eastAsia="仿宋_GB2312"/>
          <w:color w:val="000000"/>
          <w:sz w:val="32"/>
          <w:szCs w:val="32"/>
          <w:lang w:eastAsia="zh-CN"/>
        </w:rPr>
        <w:t>万元，完成预算的100%。主要产出和效果：该项目资金主要用于采购药品，验收合格率100%。</w:t>
      </w:r>
      <w:r>
        <w:rPr>
          <w:rFonts w:hint="eastAsia" w:ascii="仿宋_GB2312" w:eastAsia="仿宋_GB2312"/>
          <w:color w:val="000000"/>
          <w:sz w:val="32"/>
          <w:szCs w:val="32"/>
          <w:lang w:val="en-US" w:eastAsia="zh-CN"/>
        </w:rPr>
        <w:t>推进降低药品收入占医疗收入的比例，促进持续合理用药、降低患者负担，</w:t>
      </w:r>
      <w:r>
        <w:rPr>
          <w:rFonts w:hint="default" w:ascii="仿宋_GB2312" w:eastAsia="仿宋_GB2312"/>
          <w:color w:val="000000"/>
          <w:sz w:val="32"/>
          <w:szCs w:val="32"/>
          <w:lang w:eastAsia="zh-CN"/>
        </w:rPr>
        <w:t>统筹优化医疗资源布局</w:t>
      </w:r>
      <w:r>
        <w:rPr>
          <w:rFonts w:hint="eastAsia" w:ascii="仿宋_GB2312" w:eastAsia="仿宋_GB2312"/>
          <w:color w:val="000000"/>
          <w:sz w:val="32"/>
          <w:szCs w:val="32"/>
          <w:lang w:eastAsia="zh-CN"/>
        </w:rPr>
        <w:t>，</w:t>
      </w:r>
      <w:r>
        <w:rPr>
          <w:rFonts w:hint="default" w:ascii="仿宋_GB2312" w:eastAsia="仿宋_GB2312"/>
          <w:color w:val="000000"/>
          <w:sz w:val="32"/>
          <w:szCs w:val="32"/>
          <w:lang w:eastAsia="zh-CN"/>
        </w:rPr>
        <w:t>保证医院健康发展。</w:t>
      </w:r>
    </w:p>
    <w:p>
      <w:pPr>
        <w:tabs>
          <w:tab w:val="left" w:pos="420"/>
        </w:tabs>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五、部门管理的市对县区转移支付绩效自评情况分析</w:t>
      </w:r>
    </w:p>
    <w:p>
      <w:pPr>
        <w:tabs>
          <w:tab w:val="left" w:pos="420"/>
        </w:tabs>
        <w:spacing w:line="560" w:lineRule="exact"/>
        <w:ind w:firstLine="320" w:firstLineChars="100"/>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本部门属于二级预算单位，无下属部门。</w:t>
      </w:r>
      <w:r>
        <w:rPr>
          <w:rFonts w:hint="eastAsia" w:ascii="仿宋_GB2312" w:eastAsia="仿宋_GB2312"/>
          <w:color w:val="000000"/>
          <w:sz w:val="32"/>
          <w:szCs w:val="32"/>
        </w:rPr>
        <w:t xml:space="preserve">   </w:t>
      </w:r>
    </w:p>
    <w:p>
      <w:pPr>
        <w:tabs>
          <w:tab w:val="left" w:pos="420"/>
        </w:tabs>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六、绩效自评结果拟应用和公开情况</w:t>
      </w:r>
    </w:p>
    <w:p>
      <w:pPr>
        <w:tabs>
          <w:tab w:val="left" w:pos="420"/>
        </w:tabs>
        <w:spacing w:line="56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七、其他需要说明的问题</w:t>
      </w:r>
    </w:p>
    <w:p>
      <w:pPr>
        <w:tabs>
          <w:tab w:val="left" w:pos="42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本部门无其他需要说明的问题。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YmNkZTQ0ZDFlODQzMWY1ODJkOTdmNTQ5MjlhYmEifQ=="/>
  </w:docVars>
  <w:rsids>
    <w:rsidRoot w:val="00000000"/>
    <w:rsid w:val="06003B79"/>
    <w:rsid w:val="0A14142A"/>
    <w:rsid w:val="0F157795"/>
    <w:rsid w:val="0FF87E3E"/>
    <w:rsid w:val="11BB0F06"/>
    <w:rsid w:val="149F150A"/>
    <w:rsid w:val="16244EDC"/>
    <w:rsid w:val="1A535404"/>
    <w:rsid w:val="1C8B7CAB"/>
    <w:rsid w:val="2111419B"/>
    <w:rsid w:val="235B603F"/>
    <w:rsid w:val="25BC1952"/>
    <w:rsid w:val="25C618A2"/>
    <w:rsid w:val="274E56E5"/>
    <w:rsid w:val="276078E8"/>
    <w:rsid w:val="2D281971"/>
    <w:rsid w:val="2DD40AA6"/>
    <w:rsid w:val="2E1279E4"/>
    <w:rsid w:val="31403C27"/>
    <w:rsid w:val="33814F8D"/>
    <w:rsid w:val="33C5616B"/>
    <w:rsid w:val="34951634"/>
    <w:rsid w:val="37CC5F06"/>
    <w:rsid w:val="3C187246"/>
    <w:rsid w:val="3F8614CF"/>
    <w:rsid w:val="4250314C"/>
    <w:rsid w:val="42F91EDE"/>
    <w:rsid w:val="45386077"/>
    <w:rsid w:val="4ED5489E"/>
    <w:rsid w:val="5023629C"/>
    <w:rsid w:val="52480EEE"/>
    <w:rsid w:val="5EF57C66"/>
    <w:rsid w:val="63B72D8A"/>
    <w:rsid w:val="63F41F75"/>
    <w:rsid w:val="692B4FE8"/>
    <w:rsid w:val="6B693DA4"/>
    <w:rsid w:val="72CC5407"/>
    <w:rsid w:val="74524D33"/>
    <w:rsid w:val="75A246E9"/>
    <w:rsid w:val="78066A34"/>
    <w:rsid w:val="792E7A5A"/>
    <w:rsid w:val="79C3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2021-09-28T08:47:00Z</dcterms:created>
  <dc:creator>Administrator</dc:creator>
  <cp:lastModifiedBy>魏文娟</cp:lastModifiedBy>
  <cp:lastPrinted>2021-09-29T04:07:00Z</cp:lastPrinted>
  <dcterms:modified xsi:type="dcterms:W3CDTF">2023-10-25T05:05:46Z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5954A4B9ED17433CADC38C7374BB2317_13</vt:lpwstr>
  </property>
</Properties>
</file>